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实训场景6：集装箱相关单证</w:t>
      </w:r>
    </w:p>
    <w:p>
      <w:pPr>
        <w:numPr>
          <w:ilvl w:val="0"/>
          <w:numId w:val="1"/>
        </w:numPr>
        <w:rPr>
          <w:rFonts w:hint="eastAsia" w:eastAsiaTheme="minorEastAsia"/>
          <w:b/>
          <w:bCs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</w:rPr>
        <w:t>托运拼箱货物要写集装箱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、箱号和封志号，并注明空箱提取和交还地点。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（箱型）</w:t>
      </w:r>
    </w:p>
    <w:p>
      <w:pPr>
        <w:numPr>
          <w:ilvl w:val="0"/>
          <w:numId w:val="1"/>
        </w:numPr>
        <w:rPr>
          <w:rFonts w:hint="eastAsia" w:eastAsia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</w:rPr>
        <w:t>托运拼箱货物要写集装箱箱型、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和封志号，并注明空箱提取和交还地点。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箱号）</w:t>
      </w:r>
    </w:p>
    <w:p>
      <w:pPr>
        <w:numPr>
          <w:ilvl w:val="0"/>
          <w:numId w:val="1"/>
        </w:numPr>
        <w:rPr>
          <w:rFonts w:hint="eastAsia" w:eastAsia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</w:rPr>
        <w:t>托运拼箱货物要写集装箱箱型、箱号和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，并注明空箱提取和交还地点。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封志号）</w:t>
      </w:r>
    </w:p>
    <w:p>
      <w:pPr>
        <w:numPr>
          <w:ilvl w:val="0"/>
          <w:numId w:val="1"/>
        </w:numPr>
        <w:rPr>
          <w:rFonts w:hint="eastAsia" w:eastAsia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</w:rPr>
        <w:t>托运拼箱货物要写集装箱箱型、箱号和封志号，并注明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和交还地点。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空箱提取）</w:t>
      </w:r>
    </w:p>
    <w:p>
      <w:pPr>
        <w:numPr>
          <w:ilvl w:val="0"/>
          <w:numId w:val="1"/>
        </w:numPr>
        <w:rPr>
          <w:rFonts w:hint="eastAsia" w:eastAsia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</w:rPr>
        <w:t>托运拼箱货物要写集装箱箱型、箱号和封志号，并注明空箱提取和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交还地点）</w:t>
      </w:r>
    </w:p>
    <w:p>
      <w:pPr>
        <w:numPr>
          <w:ilvl w:val="0"/>
          <w:numId w:val="1"/>
        </w:numPr>
        <w:rPr>
          <w:rFonts w:hint="eastAsia" w:eastAsia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</w:rPr>
        <w:t>托运</w:t>
      </w:r>
      <w:r>
        <w:rPr>
          <w:rFonts w:hint="eastAsia"/>
          <w:color w:val="000000"/>
          <w:szCs w:val="21"/>
          <w:lang w:val="en-US" w:eastAsia="zh-CN"/>
        </w:rPr>
        <w:t>集装箱的</w:t>
      </w:r>
      <w:r>
        <w:rPr>
          <w:rFonts w:hint="eastAsia"/>
          <w:color w:val="000000"/>
          <w:szCs w:val="21"/>
        </w:rPr>
        <w:t>整箱货物，应注明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、航次、场站货位、箱位，并提交货物装箱单。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船名）</w:t>
      </w:r>
    </w:p>
    <w:p>
      <w:pPr>
        <w:numPr>
          <w:ilvl w:val="0"/>
          <w:numId w:val="1"/>
        </w:numPr>
        <w:rPr>
          <w:rFonts w:hint="eastAsia" w:eastAsia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</w:rPr>
        <w:t>托运</w:t>
      </w:r>
      <w:r>
        <w:rPr>
          <w:rFonts w:hint="eastAsia"/>
          <w:color w:val="000000"/>
          <w:szCs w:val="21"/>
          <w:lang w:val="en-US" w:eastAsia="zh-CN"/>
        </w:rPr>
        <w:t>集装箱的</w:t>
      </w:r>
      <w:r>
        <w:rPr>
          <w:rFonts w:hint="eastAsia"/>
          <w:color w:val="000000"/>
          <w:szCs w:val="21"/>
        </w:rPr>
        <w:t>整箱货物，应注明船名、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、场站货位、箱位，并提交货物装箱单。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航次）</w:t>
      </w:r>
    </w:p>
    <w:p>
      <w:pPr>
        <w:numPr>
          <w:ilvl w:val="0"/>
          <w:numId w:val="1"/>
        </w:numPr>
        <w:rPr>
          <w:rFonts w:hint="eastAsia" w:eastAsia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</w:rPr>
        <w:t>托运</w:t>
      </w:r>
      <w:r>
        <w:rPr>
          <w:rFonts w:hint="eastAsia"/>
          <w:color w:val="000000"/>
          <w:szCs w:val="21"/>
          <w:lang w:val="en-US" w:eastAsia="zh-CN"/>
        </w:rPr>
        <w:t>集装箱的</w:t>
      </w:r>
      <w:r>
        <w:rPr>
          <w:rFonts w:hint="eastAsia"/>
          <w:color w:val="000000"/>
          <w:szCs w:val="21"/>
        </w:rPr>
        <w:t>整箱货物，应注明船名、航次、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、箱位，并提交货物装箱单。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场站货位）</w:t>
      </w:r>
    </w:p>
    <w:p>
      <w:pPr>
        <w:numPr>
          <w:ilvl w:val="0"/>
          <w:numId w:val="1"/>
        </w:numPr>
        <w:rPr>
          <w:rFonts w:hint="eastAsia" w:eastAsia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</w:rPr>
        <w:t>托运</w:t>
      </w:r>
      <w:r>
        <w:rPr>
          <w:rFonts w:hint="eastAsia"/>
          <w:color w:val="000000"/>
          <w:szCs w:val="21"/>
          <w:lang w:val="en-US" w:eastAsia="zh-CN"/>
        </w:rPr>
        <w:t>集装箱的</w:t>
      </w:r>
      <w:r>
        <w:rPr>
          <w:rFonts w:hint="eastAsia"/>
          <w:color w:val="000000"/>
          <w:szCs w:val="21"/>
        </w:rPr>
        <w:t>整箱货物，应注明船名、航次、</w:t>
      </w:r>
      <w:r>
        <w:rPr>
          <w:rFonts w:hint="eastAsia"/>
          <w:color w:val="000000"/>
          <w:szCs w:val="21"/>
          <w:lang w:val="en-US" w:eastAsia="zh-CN"/>
        </w:rPr>
        <w:t>场站货位</w:t>
      </w:r>
      <w:r>
        <w:rPr>
          <w:rFonts w:hint="eastAsia"/>
          <w:color w:val="000000"/>
          <w:szCs w:val="21"/>
        </w:rPr>
        <w:t>、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，并提交货物装箱单。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箱位）</w:t>
      </w:r>
    </w:p>
    <w:p>
      <w:pPr>
        <w:numPr>
          <w:ilvl w:val="0"/>
          <w:numId w:val="1"/>
        </w:numPr>
        <w:rPr>
          <w:rFonts w:hint="eastAsia" w:eastAsia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</w:rPr>
        <w:t>托运</w:t>
      </w:r>
      <w:r>
        <w:rPr>
          <w:rFonts w:hint="eastAsia"/>
          <w:color w:val="000000"/>
          <w:szCs w:val="21"/>
          <w:lang w:val="en-US" w:eastAsia="zh-CN"/>
        </w:rPr>
        <w:t>集装箱的</w:t>
      </w:r>
      <w:r>
        <w:rPr>
          <w:rFonts w:hint="eastAsia"/>
          <w:color w:val="000000"/>
          <w:szCs w:val="21"/>
        </w:rPr>
        <w:t>整箱货物，应注明船名、航次、场站货位、箱位，并提交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货物装箱单）</w:t>
      </w:r>
    </w:p>
    <w:p>
      <w:pPr>
        <w:numPr>
          <w:ilvl w:val="0"/>
          <w:numId w:val="1"/>
        </w:numPr>
        <w:rPr>
          <w:rFonts w:hint="eastAsia" w:eastAsiaTheme="minorEastAsia"/>
          <w:b/>
          <w:bCs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</w:rPr>
        <w:t>已填妥的</w:t>
      </w:r>
      <w:r>
        <w:rPr>
          <w:rFonts w:hint="eastAsia"/>
          <w:color w:val="000000"/>
          <w:szCs w:val="21"/>
          <w:lang w:val="en-US" w:eastAsia="zh-CN"/>
        </w:rPr>
        <w:t>集装箱</w:t>
      </w:r>
      <w:r>
        <w:rPr>
          <w:rFonts w:hint="eastAsia"/>
          <w:color w:val="000000"/>
          <w:szCs w:val="21"/>
        </w:rPr>
        <w:t>运单，如有更改，必须在更改处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签字盖章）</w:t>
      </w:r>
    </w:p>
    <w:p>
      <w:pPr>
        <w:numPr>
          <w:ilvl w:val="0"/>
          <w:numId w:val="1"/>
        </w:numPr>
        <w:rPr>
          <w:rFonts w:hint="eastAsia" w:eastAsia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</w:rPr>
        <w:t>托运的普通集装箱货物中，不得夹带危险货物、易腐货物、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货物、贵重物品、货币、有价证券等物品。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流质）</w:t>
      </w:r>
    </w:p>
    <w:p>
      <w:pPr>
        <w:numPr>
          <w:ilvl w:val="0"/>
          <w:numId w:val="1"/>
        </w:numPr>
        <w:rPr>
          <w:rFonts w:hint="eastAsia" w:eastAsia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</w:rPr>
        <w:t>托运需要具备运输包装的</w:t>
      </w:r>
      <w:r>
        <w:rPr>
          <w:rFonts w:hint="eastAsia"/>
          <w:color w:val="000000"/>
          <w:szCs w:val="21"/>
          <w:lang w:val="en-US" w:eastAsia="zh-CN"/>
        </w:rPr>
        <w:t>集装箱</w:t>
      </w:r>
      <w:r>
        <w:rPr>
          <w:rFonts w:hint="eastAsia"/>
          <w:color w:val="000000"/>
          <w:szCs w:val="21"/>
        </w:rPr>
        <w:t>货物应在保证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、装卸作业安全和货物质量的原则下进行包装。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运输）</w:t>
      </w:r>
    </w:p>
    <w:p>
      <w:pPr>
        <w:numPr>
          <w:ilvl w:val="0"/>
          <w:numId w:val="1"/>
        </w:numPr>
        <w:rPr>
          <w:rFonts w:hint="eastAsia"/>
          <w:b w:val="0"/>
          <w:bCs w:val="0"/>
          <w:color w:val="000000"/>
          <w:szCs w:val="21"/>
        </w:rPr>
      </w:pPr>
      <w:r>
        <w:rPr>
          <w:rFonts w:hint="eastAsia"/>
          <w:color w:val="000000"/>
          <w:szCs w:val="21"/>
        </w:rPr>
        <w:t>托运需要具备运输包装的</w:t>
      </w:r>
      <w:r>
        <w:rPr>
          <w:rFonts w:hint="eastAsia"/>
          <w:color w:val="000000"/>
          <w:szCs w:val="21"/>
          <w:lang w:val="en-US" w:eastAsia="zh-CN"/>
        </w:rPr>
        <w:t>集装箱</w:t>
      </w:r>
      <w:r>
        <w:rPr>
          <w:rFonts w:hint="eastAsia"/>
          <w:color w:val="000000"/>
          <w:szCs w:val="21"/>
        </w:rPr>
        <w:t>货物应在保证运输、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和货物质量的原则下进行包装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rFonts w:hint="eastAsia"/>
          <w:b w:val="0"/>
          <w:bCs w:val="0"/>
          <w:color w:val="000000"/>
          <w:szCs w:val="21"/>
        </w:rPr>
        <w:t>装卸作业安全</w:t>
      </w:r>
      <w:r>
        <w:rPr>
          <w:rFonts w:hint="eastAsia"/>
          <w:b w:val="0"/>
          <w:bCs w:val="0"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color w:val="000000"/>
          <w:szCs w:val="21"/>
        </w:rPr>
        <w:t>托运需要具备运输包装的</w:t>
      </w:r>
      <w:r>
        <w:rPr>
          <w:rFonts w:hint="eastAsia"/>
          <w:color w:val="000000"/>
          <w:szCs w:val="21"/>
          <w:lang w:val="en-US" w:eastAsia="zh-CN"/>
        </w:rPr>
        <w:t>集装箱</w:t>
      </w:r>
      <w:r>
        <w:rPr>
          <w:rFonts w:hint="eastAsia"/>
          <w:color w:val="000000"/>
          <w:szCs w:val="21"/>
        </w:rPr>
        <w:t>货物应在保证运输、装卸作业安全和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的原则下进行包装。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货物质量）</w:t>
      </w:r>
    </w:p>
    <w:p>
      <w:pPr>
        <w:numPr>
          <w:ilvl w:val="0"/>
          <w:numId w:val="1"/>
        </w:numPr>
        <w:rPr>
          <w:rFonts w:hint="eastAsia"/>
          <w:b w:val="0"/>
          <w:bCs w:val="0"/>
          <w:color w:val="000000"/>
          <w:szCs w:val="21"/>
        </w:rPr>
      </w:pPr>
      <w:r>
        <w:rPr>
          <w:rFonts w:hint="eastAsia"/>
          <w:color w:val="000000"/>
          <w:szCs w:val="21"/>
        </w:rPr>
        <w:t>托运特种集装箱货物应提供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及途中管理、照料事宜的说明书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rFonts w:hint="eastAsia"/>
          <w:b w:val="0"/>
          <w:bCs w:val="0"/>
          <w:color w:val="000000"/>
          <w:szCs w:val="21"/>
        </w:rPr>
        <w:t>最长运输期限</w:t>
      </w:r>
      <w:r>
        <w:rPr>
          <w:rFonts w:hint="eastAsia"/>
          <w:b w:val="0"/>
          <w:bCs w:val="0"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b w:val="0"/>
          <w:bCs w:val="0"/>
          <w:color w:val="000000"/>
          <w:szCs w:val="21"/>
        </w:rPr>
      </w:pPr>
      <w:r>
        <w:rPr>
          <w:rFonts w:hint="eastAsia"/>
          <w:color w:val="000000"/>
          <w:szCs w:val="21"/>
        </w:rPr>
        <w:t>托运特种集装箱货物应提供最长运输期限及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  <w:lang w:eastAsia="zh-CN"/>
        </w:rPr>
        <w:t>。</w:t>
      </w:r>
      <w:r>
        <w:rPr>
          <w:rFonts w:hint="eastAsia"/>
          <w:b w:val="0"/>
          <w:bCs w:val="0"/>
          <w:color w:val="000000"/>
          <w:szCs w:val="21"/>
        </w:rPr>
        <w:t>途中管理、照料事宜的说明书</w:t>
      </w:r>
    </w:p>
    <w:p>
      <w:pPr>
        <w:numPr>
          <w:ilvl w:val="0"/>
          <w:numId w:val="1"/>
        </w:numPr>
        <w:rPr>
          <w:rFonts w:hint="eastAsia" w:eastAsia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集装箱</w:t>
      </w:r>
      <w:r>
        <w:rPr>
          <w:color w:val="000000"/>
          <w:szCs w:val="21"/>
        </w:rPr>
        <w:t>站场收据由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编制。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发货人）</w:t>
      </w:r>
    </w:p>
    <w:p>
      <w:pPr>
        <w:numPr>
          <w:ilvl w:val="0"/>
          <w:numId w:val="1"/>
        </w:numPr>
        <w:rPr>
          <w:rFonts w:hint="eastAsia"/>
          <w:b w:val="0"/>
          <w:bCs w:val="0"/>
          <w:color w:val="000000"/>
          <w:szCs w:val="21"/>
        </w:rPr>
      </w:pPr>
      <w:r>
        <w:rPr>
          <w:color w:val="000000"/>
          <w:szCs w:val="21"/>
        </w:rPr>
        <w:t>同一批货物装有几个集装箱时，先凭装箱但验收，直到最后一个集装箱验收完毕时，才由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在站场收据上签收。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b w:val="0"/>
          <w:bCs w:val="0"/>
          <w:color w:val="000000"/>
          <w:szCs w:val="21"/>
        </w:rPr>
        <w:t>港站管理员</w:t>
      </w:r>
      <w:r>
        <w:rPr>
          <w:rFonts w:hint="eastAsia"/>
          <w:b w:val="0"/>
          <w:bCs w:val="0"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/>
          <w:b/>
          <w:bCs/>
          <w:color w:val="000000"/>
          <w:szCs w:val="21"/>
        </w:rPr>
      </w:pPr>
      <w:r>
        <w:rPr>
          <w:rFonts w:hint="eastAsia"/>
          <w:color w:val="000000"/>
          <w:szCs w:val="21"/>
          <w:lang w:val="en-US" w:eastAsia="zh-CN"/>
        </w:rPr>
        <w:t>集装箱</w:t>
      </w:r>
      <w:r>
        <w:rPr>
          <w:color w:val="000000"/>
          <w:szCs w:val="21"/>
        </w:rPr>
        <w:t>站场收据的作用，相当于传统运输中的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，它是发货人向船公司换取提单的凭证。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b w:val="0"/>
          <w:bCs w:val="0"/>
          <w:color w:val="000000"/>
          <w:szCs w:val="21"/>
        </w:rPr>
        <w:t>大副收据</w:t>
      </w:r>
      <w:r>
        <w:rPr>
          <w:rFonts w:hint="eastAsia"/>
          <w:b w:val="0"/>
          <w:bCs w:val="0"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集装箱</w:t>
      </w:r>
      <w:r>
        <w:rPr>
          <w:color w:val="000000"/>
          <w:szCs w:val="21"/>
        </w:rPr>
        <w:t>站场收据的作用，相当于传统运输中的大副收据，它是发货人向船公司换取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的凭证。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提单）</w:t>
      </w:r>
    </w:p>
    <w:p>
      <w:pPr>
        <w:numPr>
          <w:ilvl w:val="0"/>
          <w:numId w:val="1"/>
        </w:numPr>
        <w:rPr>
          <w:rFonts w:hint="eastAsia" w:eastAsiaTheme="minorEastAsia"/>
          <w:b w:val="0"/>
          <w:bCs w:val="0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交接单主要内容是</w:t>
      </w:r>
      <w:r>
        <w:rPr>
          <w:color w:val="000000"/>
          <w:szCs w:val="21"/>
        </w:rPr>
        <w:t>产生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  <w:lang w:eastAsia="zh-CN"/>
        </w:rPr>
        <w:t>、</w:t>
      </w:r>
      <w:r>
        <w:rPr>
          <w:color w:val="000000"/>
          <w:szCs w:val="21"/>
        </w:rPr>
        <w:t>灭失的责任划分</w:t>
      </w:r>
      <w:r>
        <w:rPr>
          <w:rFonts w:hint="eastAsia"/>
          <w:color w:val="000000"/>
          <w:szCs w:val="21"/>
          <w:lang w:eastAsia="zh-CN"/>
        </w:rPr>
        <w:t>、</w:t>
      </w:r>
      <w:r>
        <w:rPr>
          <w:color w:val="000000"/>
          <w:szCs w:val="21"/>
        </w:rPr>
        <w:t>损害赔偿的承担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rFonts w:hint="eastAsia"/>
          <w:b w:val="0"/>
          <w:bCs w:val="0"/>
          <w:lang w:val="en-US" w:eastAsia="zh-CN"/>
        </w:rPr>
        <w:t>费用）</w:t>
      </w:r>
    </w:p>
    <w:p>
      <w:pPr>
        <w:numPr>
          <w:ilvl w:val="0"/>
          <w:numId w:val="1"/>
        </w:numPr>
        <w:rPr>
          <w:rFonts w:hint="eastAsia" w:eastAsiaTheme="minorEastAsia"/>
          <w:b w:val="0"/>
          <w:bCs w:val="0"/>
          <w:lang w:val="en-US" w:eastAsia="zh-CN"/>
        </w:rPr>
      </w:pPr>
      <w:r>
        <w:rPr>
          <w:color w:val="000000"/>
          <w:szCs w:val="21"/>
        </w:rPr>
        <w:t>交</w:t>
      </w:r>
      <w:r>
        <w:rPr>
          <w:rFonts w:hint="eastAsia"/>
          <w:color w:val="000000"/>
          <w:szCs w:val="21"/>
          <w:lang w:val="en-US" w:eastAsia="zh-CN"/>
        </w:rPr>
        <w:t>接单主要内容是</w:t>
      </w:r>
      <w:r>
        <w:rPr>
          <w:color w:val="000000"/>
          <w:szCs w:val="21"/>
        </w:rPr>
        <w:t>产生</w:t>
      </w:r>
      <w:r>
        <w:rPr>
          <w:rFonts w:hint="eastAsia"/>
          <w:color w:val="000000"/>
          <w:szCs w:val="21"/>
          <w:lang w:val="en-US" w:eastAsia="zh-CN"/>
        </w:rPr>
        <w:t>费用</w:t>
      </w:r>
      <w:r>
        <w:rPr>
          <w:rFonts w:hint="eastAsia"/>
          <w:color w:val="000000"/>
          <w:szCs w:val="21"/>
          <w:lang w:eastAsia="zh-CN"/>
        </w:rPr>
        <w:t>、</w:t>
      </w:r>
      <w:r>
        <w:rPr>
          <w:color w:val="000000"/>
          <w:szCs w:val="21"/>
        </w:rPr>
        <w:t>灭失的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  <w:lang w:eastAsia="zh-CN"/>
        </w:rPr>
        <w:t>、</w:t>
      </w:r>
      <w:r>
        <w:rPr>
          <w:color w:val="000000"/>
          <w:szCs w:val="21"/>
        </w:rPr>
        <w:t>损害赔偿的承担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rFonts w:hint="eastAsia"/>
          <w:b w:val="0"/>
          <w:bCs w:val="0"/>
          <w:lang w:val="en-US" w:eastAsia="zh-CN"/>
        </w:rPr>
        <w:t>责任划分）</w:t>
      </w:r>
    </w:p>
    <w:p>
      <w:pPr>
        <w:numPr>
          <w:ilvl w:val="0"/>
          <w:numId w:val="1"/>
        </w:numPr>
        <w:rPr>
          <w:rFonts w:hint="eastAsia" w:eastAsiaTheme="minorEastAsia"/>
          <w:b w:val="0"/>
          <w:bCs w:val="0"/>
          <w:lang w:val="en-US" w:eastAsia="zh-CN"/>
        </w:rPr>
      </w:pPr>
      <w:r>
        <w:rPr>
          <w:color w:val="000000"/>
          <w:szCs w:val="21"/>
        </w:rPr>
        <w:t>交</w:t>
      </w:r>
      <w:r>
        <w:rPr>
          <w:rFonts w:hint="eastAsia"/>
          <w:color w:val="000000"/>
          <w:szCs w:val="21"/>
          <w:lang w:val="en-US" w:eastAsia="zh-CN"/>
        </w:rPr>
        <w:t>接单主要内容是</w:t>
      </w:r>
      <w:r>
        <w:rPr>
          <w:color w:val="000000"/>
          <w:szCs w:val="21"/>
        </w:rPr>
        <w:t>产生</w:t>
      </w:r>
      <w:r>
        <w:rPr>
          <w:rFonts w:hint="eastAsia"/>
          <w:color w:val="000000"/>
          <w:szCs w:val="21"/>
          <w:lang w:val="en-US" w:eastAsia="zh-CN"/>
        </w:rPr>
        <w:t>费用</w:t>
      </w:r>
      <w:r>
        <w:rPr>
          <w:rFonts w:hint="eastAsia"/>
          <w:color w:val="000000"/>
          <w:szCs w:val="21"/>
          <w:lang w:eastAsia="zh-CN"/>
        </w:rPr>
        <w:t>、</w:t>
      </w:r>
      <w:r>
        <w:rPr>
          <w:color w:val="000000"/>
          <w:szCs w:val="21"/>
        </w:rPr>
        <w:t>灭失的责任划分</w:t>
      </w:r>
      <w:r>
        <w:rPr>
          <w:rFonts w:hint="eastAsia"/>
          <w:color w:val="000000"/>
          <w:szCs w:val="21"/>
          <w:lang w:eastAsia="zh-CN"/>
        </w:rPr>
        <w:t>、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color w:val="000000"/>
          <w:szCs w:val="21"/>
        </w:rPr>
        <w:t>的承担</w:t>
      </w:r>
      <w:r>
        <w:rPr>
          <w:rFonts w:hint="eastAsia"/>
          <w:color w:val="000000"/>
          <w:szCs w:val="21"/>
          <w:lang w:eastAsia="zh-CN"/>
        </w:rPr>
        <w:t>。（</w:t>
      </w:r>
      <w:r>
        <w:rPr>
          <w:rFonts w:hint="eastAsia"/>
          <w:b w:val="0"/>
          <w:bCs w:val="0"/>
          <w:lang w:val="en-US" w:eastAsia="zh-CN"/>
        </w:rPr>
        <w:t>损害赔偿）</w:t>
      </w:r>
    </w:p>
    <w:p>
      <w:pPr>
        <w:numPr>
          <w:ilvl w:val="0"/>
          <w:numId w:val="1"/>
        </w:numPr>
        <w:rPr>
          <w:rFonts w:hint="eastAsia" w:eastAsia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集装箱</w:t>
      </w:r>
      <w:r>
        <w:rPr>
          <w:color w:val="000000"/>
          <w:szCs w:val="21"/>
        </w:rPr>
        <w:t>交接单分</w:t>
      </w:r>
      <w:r>
        <w:rPr>
          <w:rFonts w:hint="eastAsia"/>
          <w:color w:val="000000"/>
          <w:szCs w:val="21"/>
        </w:rPr>
        <w:t>“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”</w:t>
      </w:r>
      <w:r>
        <w:rPr>
          <w:color w:val="000000"/>
          <w:szCs w:val="21"/>
        </w:rPr>
        <w:t>和</w:t>
      </w:r>
      <w:r>
        <w:rPr>
          <w:rFonts w:hint="eastAsia"/>
          <w:color w:val="000000"/>
          <w:szCs w:val="21"/>
        </w:rPr>
        <w:t>“</w:t>
      </w:r>
      <w:r>
        <w:rPr>
          <w:color w:val="000000"/>
          <w:szCs w:val="21"/>
        </w:rPr>
        <w:t>进门</w:t>
      </w:r>
      <w:r>
        <w:rPr>
          <w:rFonts w:hint="eastAsia"/>
          <w:color w:val="000000"/>
          <w:szCs w:val="21"/>
        </w:rPr>
        <w:t>”</w:t>
      </w:r>
      <w:r>
        <w:rPr>
          <w:color w:val="000000"/>
          <w:szCs w:val="21"/>
        </w:rPr>
        <w:t>两种。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出门）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 w:eastAsia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/>
          <w:color w:val="000000"/>
          <w:szCs w:val="21"/>
          <w:lang w:val="en-US" w:eastAsia="zh-CN"/>
        </w:rPr>
        <w:t>集装箱</w:t>
      </w:r>
      <w:r>
        <w:rPr>
          <w:color w:val="000000"/>
          <w:szCs w:val="21"/>
        </w:rPr>
        <w:t>交接单分</w:t>
      </w:r>
      <w:r>
        <w:rPr>
          <w:rFonts w:hint="eastAsia"/>
          <w:color w:val="000000"/>
          <w:szCs w:val="21"/>
        </w:rPr>
        <w:t>“</w:t>
      </w:r>
      <w:r>
        <w:rPr>
          <w:color w:val="000000"/>
          <w:szCs w:val="21"/>
        </w:rPr>
        <w:t>出门</w:t>
      </w:r>
      <w:r>
        <w:rPr>
          <w:rFonts w:hint="eastAsia"/>
          <w:color w:val="000000"/>
          <w:szCs w:val="21"/>
        </w:rPr>
        <w:t>”</w:t>
      </w:r>
      <w:r>
        <w:rPr>
          <w:color w:val="000000"/>
          <w:szCs w:val="21"/>
        </w:rPr>
        <w:t>和</w:t>
      </w:r>
      <w:r>
        <w:rPr>
          <w:rFonts w:hint="eastAsia"/>
          <w:color w:val="000000"/>
          <w:szCs w:val="21"/>
        </w:rPr>
        <w:t>“</w:t>
      </w:r>
      <w:r>
        <w:rPr>
          <w:rFonts w:hint="eastAsia"/>
          <w:color w:val="000000"/>
          <w:szCs w:val="21"/>
          <w:lang w:val="en-US" w:eastAsia="zh-CN"/>
        </w:rPr>
        <w:t>____</w:t>
      </w:r>
      <w:r>
        <w:rPr>
          <w:rFonts w:hint="eastAsia"/>
          <w:color w:val="000000"/>
          <w:szCs w:val="21"/>
        </w:rPr>
        <w:t>”</w:t>
      </w:r>
      <w:r>
        <w:rPr>
          <w:color w:val="000000"/>
          <w:szCs w:val="21"/>
        </w:rPr>
        <w:t>两种。</w:t>
      </w:r>
      <w:r>
        <w:rPr>
          <w:rFonts w:hint="eastAsia"/>
          <w:color w:val="000000"/>
          <w:szCs w:val="21"/>
          <w:lang w:eastAsia="zh-CN"/>
        </w:rPr>
        <w:t>（</w:t>
      </w:r>
      <w:r>
        <w:rPr>
          <w:rFonts w:hint="eastAsia"/>
          <w:b w:val="0"/>
          <w:bCs w:val="0"/>
          <w:color w:val="000000"/>
          <w:szCs w:val="21"/>
          <w:lang w:val="en-US" w:eastAsia="zh-CN"/>
        </w:rPr>
        <w:t>进门）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1E4C76"/>
    <w:multiLevelType w:val="singleLevel"/>
    <w:tmpl w:val="631E4C76"/>
    <w:lvl w:ilvl="0" w:tentative="0">
      <w:start w:val="1"/>
      <w:numFmt w:val="decimal"/>
      <w:suff w:val="nothing"/>
      <w:lvlText w:val="%1、"/>
      <w:lvlJc w:val="left"/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6872571C"/>
    <w:rsid w:val="31716C4A"/>
    <w:rsid w:val="6872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2024-03-19T14:49:00Z</dcterms:created>
  <dc:creator>木兮</dc:creator>
  <cp:lastModifiedBy>木兮</cp:lastModifiedBy>
  <dcterms:modified xsi:type="dcterms:W3CDTF">2024-03-20T13:22:43Z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A8F04B7C9D734F68BDC8530B6CCE080F_11</vt:lpwstr>
  </property>
</Properties>
</file>